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07:06 МСК · База обновлена: 22.07.2026, 11:02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63 лет обратился к урологу поликлиники по месту жительства, поскольку в последнее время обратил внимание на изменение цвета мочи.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примесь крови в моче на протяжении всего акта мочеиспускания.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 уролога не наблюдается. Вышеуказанная жалоба беспокоит в течение 3 месяцев. Около недели назад наряду с окрашиванием мочи кровью отметил появление бесформенных сгустков.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наравне со сверстниками, Детские инфекции без осложнений.</w:t>
      </w:r>
    </w:p>
    <w:p>
      <w:pPr>
        <w:spacing w:after="58"/>
      </w:pPr>
      <w:r>
        <w:rPr>
          <w:b w:val="0"/>
          <w:i w:val="0"/>
        </w:rPr>
        <w:t>Курит – 1-1,5 пачки в день в течение 20 лет, алкоголем не злоупотребляет, профессиональные вредности отрицает.</w:t>
      </w:r>
    </w:p>
    <w:p>
      <w:pPr>
        <w:spacing w:after="58"/>
      </w:pPr>
      <w:r>
        <w:rPr>
          <w:b w:val="0"/>
          <w:i w:val="0"/>
        </w:rPr>
        <w:t>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Родной брат – здоровье соответствует возрастной норме.</w:t>
      </w:r>
    </w:p>
    <w:p>
      <w:pPr>
        <w:spacing w:after="58"/>
      </w:pPr>
      <w:r>
        <w:rPr>
          <w:b w:val="0"/>
          <w:i w:val="0"/>
        </w:rPr>
        <w:t>Онкологический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72 кг, рост 170 см. Температура тела 36,70С. Кожные покровы умеренно влажные, теплые. Дыхание самостоятельное, ЧДД 17/мин. Тоны сердца ясные, ритмичные, ЧСС 75/мин, АД 130/80 мм рт.ст. Живот мягкий, безболезненный во всех отделах. Печень, селезенка не увеличены. Стул регулярный, оформленный.</w:t>
      </w:r>
    </w:p>
    <w:p>
      <w:pPr>
        <w:spacing w:after="58"/>
      </w:pPr>
      <w:r>
        <w:rPr>
          <w:b w:val="0"/>
          <w:i w:val="0"/>
        </w:rPr>
        <w:t>_Status localis_: симптом Пастернацкого отрицательный с обеих сторон, почки не пальпируются, мочеиспускание свободное, безболезненное, моча визуально на момент осмотра не изменена, наружные половые органы без особенностей, яички пальпируются в мошонке, обычных размеров и консистенции, безболезненные, патологических образований не выявлено.</w:t>
      </w:r>
    </w:p>
    <w:p>
      <w:pPr>
        <w:spacing w:after="58"/>
      </w:pPr>
      <w:r>
        <w:rPr>
          <w:b w:val="0"/>
          <w:i w:val="0"/>
        </w:rPr>
        <w:t>При пальцевом ректальном исследовании: простата не увеличена, плотно-эластической консистенции, безболезненная, Поверхность простаты гладкая, слизистая прямой кишки свободно смещается.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лабораторной диагностики, необходимым для постановки диагноза в данном случае,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 крови на ПСА общий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коагулограмма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общий анализ мочи; 4 — цитологическое исследование мочи</w:t>
      </w:r>
    </w:p>
    <w:p>
      <w:pPr>
        <w:ind w:left="504"/>
      </w:pPr>
      <w:r>
        <w:rPr>
          <w:b w:val="0"/>
          <w:i/>
        </w:rPr>
        <w:t>Микрогематурия — показание для исследования мочевой системы с целью исключения конкрементов и опухоли слизистой оболочки верхних мочевых путей и МП.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выполнять цитологическое исследование (ЦИ) мочи из полости мочевого пузыря перед выполнением трансуретральной резекции. Это позволяет заподозрить наличие опухоли высокой степени малигнизации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первичной диагностике для постановки диагноза необходимыми инструментальными и лучевыми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почек, верхних мочевых путей и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трансректальное ультразвуковое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томография органов малого таза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диагностическая уретроцистоскопия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ультразвуковое исследование почек, верхних мочевых путей и мочевого пузыря; 5 — диагностическая уретроцистоскопия</w:t>
      </w:r>
    </w:p>
    <w:p>
      <w:pPr>
        <w:ind w:left="504"/>
      </w:pPr>
      <w:r>
        <w:rPr>
          <w:b w:val="0"/>
          <w:i/>
        </w:rPr>
        <w:t>Рекомендуется назначать ультразвуковое исследование (УЗИ) почек и МП при первичном обследовании пациентов с гематурией.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выполнять диагностическую цистоскопию всем пациентам с симптомами, подтверждающими РМП.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результатам клинических и лабораторно-инструментальных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Опухоль мочевого пузыря Т1NхМ0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Рак мочевого пузыря Т1N0М0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Опухоль мочевого пузыря Т1N0Мх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Опухоль мочевого пузыря Т1NхМх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Опухоль мочевого пузыря Т1NхМх</w:t>
      </w:r>
    </w:p>
    <w:p>
      <w:pPr>
        <w:ind w:left="504"/>
      </w:pPr>
      <w:r>
        <w:rPr>
          <w:b w:val="0"/>
          <w:i/>
        </w:rPr>
        <w:t>Классификация TNM.</w:t>
        <w:br/>
        <w:br/>
        <w:t>Т – первичная опухоль, N -регионарные лимфатические узлы, M – отдаленные метастазы.</w:t>
        <w:br/>
        <w:br/>
        <w:t>Т1 – опухоль распространяется на субэпителиальную соединительную ткань. Nх – регионарные лимфатические узлы не могут быть оценены на данном этапе обследования. Мх – нет информации по отдаленным метастазам.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Главным исследованием в диагностике стадии Т опухоли мочевого пузыря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морфологическое исследование удаленных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магнитно-резонансная томография (МРТ)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цистоскопия с фотодинамической диагностикой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мультиспиральная компьютерная томография (МСКТ) органов малого таза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морфологическое исследование удаленных тканей</w:t>
      </w:r>
    </w:p>
    <w:p>
      <w:pPr>
        <w:ind w:left="504"/>
      </w:pPr>
      <w:r>
        <w:rPr>
          <w:b w:val="0"/>
          <w:i/>
        </w:rPr>
        <w:t>При проведении диагностической уретроцистоскопии и выявлении новообразования рекомендована биопсия МП либо выполнение ТУР МП.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уточнения состояния регионарных лимфоузлов (стадия N) и определения наличия метастазов (стадия M) по классификации (TNM) при уротелиальной карциноме мочевого пузыря пациенту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динамической нефросцинтиграфии и компьютерной томографии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рентгенографии черепа и ретроградной уретеропиелографии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эластографии предстательной железы с контрастированием и ретроградной уретроцистографии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остеосцинтиграфии и МРТ органов малого таза с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остеосцинтиграфии и МРТ органов малого таза с контрастированием</w:t>
      </w:r>
    </w:p>
    <w:p>
      <w:pPr>
        <w:ind w:left="504"/>
      </w:pPr>
      <w:r>
        <w:rPr>
          <w:b w:val="0"/>
          <w:i/>
        </w:rPr>
        <w:t>Рекомендуется выполнение сканирования костей скелета при подозрении на их метастатическое поражение.</w:t>
        <w:br/>
        <w:br/>
        <w:t>При повторной диагностике рекомендуется проведение компьютерной томографии и/или магнитно-резонансной томографии (МРТ).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Стадией рака мочевого пузыря в соответствии с TNM классификацией по результатам окончательного обследования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pТ2аN0M0G1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pТ1aN0M0G1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pТ1N0M0G1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pТ2bN0M0G1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pТ1N0M0G1</w:t>
      </w:r>
    </w:p>
    <w:p>
      <w:pPr>
        <w:ind w:left="504"/>
      </w:pPr>
      <w:r>
        <w:rPr>
          <w:b w:val="0"/>
          <w:i/>
        </w:rPr>
        <w:t>*Т — первичная опухоль*</w:t>
        <w:br/>
        <w:br/>
        <w:t>* Тх – первичная опухоль не может быть оценена</w:t>
        <w:br/>
        <w:br/>
        <w:t>* Т0 – нет данных о первичной опухоли</w:t>
        <w:br/>
        <w:br/>
        <w:t>* Та – неинвазивная папиллярная карцинома</w:t>
        <w:br/>
        <w:br/>
        <w:t>* Тis – карцинома_in situ_</w:t>
        <w:br/>
        <w:br/>
        <w:t>* Т1 – опухоль распространяется на субэпителиальную соединительную ткань</w:t>
        <w:br/>
        <w:br/>
        <w:t>* Т2 – опухолевая инвазия мышечного слоя</w:t>
        <w:br/>
        <w:br/>
        <w:t>Т2а – опухолевая инвазия поверхностного мышечного слоя</w:t>
        <w:br/>
        <w:br/>
        <w:t>Т2b – опухолевая инвазия глубокого мышечного слоя</w:t>
        <w:br/>
        <w:br/>
        <w:t>* Т3 – опухоль распространяется на паравезикальную клетчатку</w:t>
        <w:br/>
        <w:br/>
        <w:t>Т3а – микроскопически</w:t>
        <w:br/>
        <w:br/>
        <w:t>Т3b – макроскопически</w:t>
        <w:br/>
        <w:br/>
        <w:t>* Т4 – опухоль распространяется на любой из этих органов: предстательную железу, матку, влагалище, стенку таза, брюшную стенку</w:t>
        <w:br/>
        <w:br/>
        <w:t>Т4а – опухолевая инвазия предстательной железы, или матки, или влагалища</w:t>
        <w:br/>
        <w:br/>
        <w:t>Т4b – опухолевая инвазия стенки таза или брюшной стенки</w:t>
        <w:br/>
        <w:br/>
        <w:t>*N — регионарные лимфатические узлы*</w:t>
        <w:br/>
        <w:br/>
        <w:t>* Nх – регионарные лимфатические узлы не могут быть оценены</w:t>
        <w:br/>
        <w:br/>
        <w:t>* N0 – нет метастазов в регионарных лимфатических узлах</w:t>
        <w:br/>
        <w:br/>
        <w:t>* N1 – метастаз в одном регионарном лимфатическом узле размером не более 2 см в наибольшем измерении</w:t>
        <w:br/>
        <w:br/>
        <w:t>* N2 – метастаз в одном регионарном лимфатическом узле размером более 2 см, но не более 5 см в наибольшем измерении, или множественные лимфатические узлы, ни один из которых не превышает 5 см в наибольшем измерении</w:t>
        <w:br/>
        <w:br/>
        <w:t>* N3 – метастазы в регионарных лимфатических узлах размером более 5 см в наибольшем измерении</w:t>
        <w:br/>
        <w:br/>
        <w:t>*М — отдалённые метастазы*</w:t>
        <w:br/>
        <w:br/>
        <w:t>* Мх – нет отдалённых метастазов</w:t>
        <w:br/>
        <w:br/>
        <w:t>* М1 – отдалённые метастазы</w:t>
        <w:br/>
        <w:br/>
        <w:t>Категория р Т – паталогоанатомическая классификация. рТ1 – опухоль распространяется на субэпителиальную соединительную ткань.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проведенной морфологической верификации данному пациенту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цистэктомии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повторной открытой резекции стенки мочевого пузыря в сроки 2-6 недель от первичной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внутрипузырной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повторной трансуретральной резекции стенки мочевого пузыря в сроки 2-6 недель от первичной операции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внутрипузырной химиотерапии</w:t>
      </w:r>
    </w:p>
    <w:p>
      <w:pPr>
        <w:ind w:left="504"/>
      </w:pPr>
      <w:r>
        <w:rPr>
          <w:b w:val="0"/>
          <w:i/>
        </w:rPr>
        <w:t>Пациентам группы промежуточного риска после выполнения ТУР рекомендуется проведение адъювантной внутрипузырной химиотерапии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Данный пациент относится к группе +_______________+ риска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высокого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неопределяемого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промежуточного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промежуточного</w:t>
      </w:r>
    </w:p>
    <w:p>
      <w:pPr>
        <w:ind w:left="504"/>
      </w:pPr>
      <w:r>
        <w:rPr>
          <w:b w:val="0"/>
          <w:i/>
        </w:rPr>
        <w:t>Пациентам группы промежуточного риска после выполнения ТУР рекомендуется проведение адъювантной внутрипузырной химиотерапии.</w:t>
        <w:br/>
        <w:br/>
        <w:t>*Комментарии:* к этой группе относятся все пациенты, не вошедшие в группу низкого или высокого риска. Риск прогрессирования опухоли за 5 лет – 17,4%. Смертность от РМП за 10 лет – 12,8%.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Возможным осложнением ТУР стенки мочевого пузыря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повреждение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перфорация уретры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сморщивание мочевого пузыря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кровотечение</w:t>
      </w:r>
    </w:p>
    <w:p>
      <w:pPr>
        <w:ind w:left="504"/>
      </w:pPr>
      <w:r>
        <w:rPr>
          <w:b w:val="0"/>
          <w:i/>
        </w:rPr>
        <w:t>Наиболее распространенными осложнения ТУР МП являются:</w:t>
        <w:br/>
        <w:br/>
        <w:t>* кровотечения (интраоперационные и послеоперационные), иногда требующие открытого хирургического вмешательства;</w:t>
        <w:br/>
        <w:br/>
        <w:t>* перфорация стенки мочевого пузыря; внутрибрюшинная перфорация требует лапаротомии, дренирования брюшной полости, ушивания дефекта стенки мочевого пузыря.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дальнейшем данному пациенту, исходя из онкологического риска,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цистоскопию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МСКТ органов малого таза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МРТ органов малого таза с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цистоскопию</w:t>
      </w:r>
    </w:p>
    <w:p>
      <w:pPr>
        <w:ind w:left="504"/>
      </w:pPr>
      <w:r>
        <w:rPr>
          <w:b w:val="0"/>
          <w:i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мес, затем 1 раз в год;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Контрольная цистоскопия после лечения должна быть проведена через +_____+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ind w:left="504"/>
      </w:pPr>
      <w:r>
        <w:rPr>
          <w:b w:val="0"/>
          <w:i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мес, затем 1 раз в год;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 целью наблюдения за возможным рецидивом опухоли мочевого пузыря у данного пациента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дисморфных эритроцитов в моче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крови на ПСА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генетический анализ мочи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цитологическое исследование мочи</w:t>
      </w:r>
    </w:p>
    <w:p>
      <w:pPr>
        <w:ind w:left="504"/>
      </w:pPr>
      <w:r>
        <w:rPr>
          <w:b w:val="0"/>
          <w:i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мес., затем 1 раз в год;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Рак мочевого пузыря,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31 года обратился к урологу по месту жительства. Ранее урологами не наблюдался.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дискомфорт в левой поясничной области, повышение АД до 140/80 мм.рт.ст.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 анамнеза известно, что при плановом обследовании по поводу Артериальной гипертензии у пациента выявлено расширение ЧЛС слева. Консультирован в ЦРБ по месту жительства, предложена нефрэктомия слева, от предложенного лечения пациент воздержался. С целью оценки функции почек и восстановления оттока мочи из левой почки выполнено дренирование верхних мочевых путей мочеточниковым стентом. Настоящее обращение для обследования и определения дальнейшей тактики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заболевания: ОРВИ, ангины. Гепатит В, гепатит С, ВИЧ, сифилис, инфаркты, инсульты, язвы желудка и 12 перстной кишки, сахарный диабет, туберкулез – отрицает.</w:t>
      </w:r>
    </w:p>
    <w:p>
      <w:pPr>
        <w:spacing w:after="58"/>
      </w:pPr>
      <w:r>
        <w:rPr>
          <w:b w:val="0"/>
          <w:i w:val="0"/>
        </w:rPr>
        <w:t>* Операции: дренирование ВМП слева мочеточниковым стентом.</w:t>
      </w:r>
    </w:p>
    <w:p>
      <w:pPr>
        <w:spacing w:after="58"/>
      </w:pPr>
      <w:r>
        <w:rPr>
          <w:b w:val="0"/>
          <w:i w:val="0"/>
        </w:rPr>
        <w:t>* Травмы: компрессионный перелом шейных позвонков C6-C7 в возрасте 14 лет.</w:t>
      </w:r>
    </w:p>
    <w:p>
      <w:pPr>
        <w:spacing w:after="58"/>
      </w:pPr>
      <w:r>
        <w:rPr>
          <w:b w:val="0"/>
          <w:i w:val="0"/>
        </w:rPr>
        <w:t>* Страдает ГБ, терапии не принимает.</w:t>
      </w:r>
    </w:p>
    <w:p>
      <w:pPr>
        <w:spacing w:after="58"/>
      </w:pPr>
      <w:r>
        <w:rPr>
          <w:b w:val="0"/>
          <w:i w:val="0"/>
        </w:rPr>
        <w:t>* Вредных привычек нет.</w:t>
      </w:r>
    </w:p>
    <w:p>
      <w:pPr>
        <w:spacing w:after="58"/>
      </w:pPr>
      <w:r>
        <w:rPr>
          <w:b w:val="0"/>
          <w:i w:val="0"/>
        </w:rPr>
        <w:t>* Аллергические реакции на лекарственные препараты: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Рост 185 см, вес 86 кг. Температура тела 36,8 °С. Кожные покровы и слизистые физиологической окраски и влажности. Брюшной тип дыхания, ЧСС-18/мин. Тоны сердца ясные, ритмичные, ЧСС 62/мин, АД 130/80. Живот мягкий, безболезненный при пальпации, не вздут.</w:t>
      </w:r>
    </w:p>
    <w:p>
      <w:pPr>
        <w:spacing w:after="58"/>
      </w:pPr>
      <w:r>
        <w:rPr>
          <w:b w:val="0"/>
          <w:i w:val="0"/>
        </w:rPr>
        <w:t>_Локальный статус:_</w:t>
      </w:r>
    </w:p>
    <w:p>
      <w:pPr>
        <w:spacing w:after="58"/>
      </w:pPr>
      <w:r>
        <w:rPr>
          <w:b w:val="0"/>
          <w:i w:val="0"/>
        </w:rPr>
        <w:t>Поясничная область визуально не изменена. Симптом поколачивания отрицательный с обеих сторон. Пальпируемых образований в поясничной области не выявлено. Наружные половые органы развиты правильно, без особенностей, яички пальпируются в мошонке, обычных размеров и консистенции, безболезненные, патологических образований не выявлено. Наружное отверстие уретры расположено в типичном месте, патологический выделений не выявлено. Мочеиспускание свободное, безболезненное. Моча визуально не изменена.</w:t>
      </w:r>
    </w:p>
    <w:p>
      <w:pPr>
        <w:spacing w:after="58"/>
      </w:pPr>
      <w:r>
        <w:rPr>
          <w:b w:val="0"/>
          <w:i w:val="0"/>
        </w:rPr>
        <w:t>_Per rectum_: простата не увеличена в размерах, безболезненна, плотно-эластической консистенции, определяется срединная бороздка.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для постановки диагноза лабораторным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скорости клубочковой фильтрации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коагулограмму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цитологический анализ мочи на атипические клетки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общий анализ мочи; 2 — биохимический анализ крови</w:t>
      </w:r>
    </w:p>
    <w:p>
      <w:pPr>
        <w:ind w:left="504"/>
      </w:pPr>
      <w:r>
        <w:rPr>
          <w:b w:val="0"/>
          <w:i/>
        </w:rPr>
        <w:t>* Всем пациентам с подозрением на гидронефроз рекомендуется выполнение общего анализа мочи для исключения инфекции мочеполовых путей.</w:t>
        <w:br/>
        <w:br/>
        <w:t>*Комментарии:* клинический анализ мочи при гидронефрозе обычно без отклонений от нормативных величин, но присутствие белых кровяных телец (лейкоцитурия) и красных кровяных телец (гематурия) может свидетельствовать о наличии мочекаменной болезни или опухоли, которые нередко являются причинами обструкции и в дальнейшем гидронефроза, или же, когда обструкция мочевых путей осложняется инфицированием. Пиурия (наличие гноя) свидетельствует о наличии инфекции мочеполовых путей. Микроскопическая гематурия указывает на наличие камня или опухоли в мочевыделительной системе.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* Рекомендуется выполнять биохимический анализ крови.</w:t>
        <w:br/>
        <w:br/>
        <w:t>*Комментарии:* в биохимическом анализе крови функция почек определяется по следующим показателям – креатинин, мочевина, альбумин, электролиты (калий, натрий, хлориды). При двустороннем гидронефрозе могут быть диагностированы: повышение уровня креатинина и мочевины крови, изменения электролитов крови (повышение или снижение калия, натрия, хлоридов), свидетельствующие о нарушении функции почек (почечная недостаточность). Кроме того, гиперкалиемия, вследствие гидронефроза, является жизнеугрожающим состоянием.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в настоящее время основными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МРТ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(мультиспиральная)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хромоцистоскопия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органов забрюшинного пространства (почек),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МРТ почек и забрюшинного пространства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компьютерная томография (мультиспиральная) с контрастированием; 4 — ультразвуковое исследование органов забрюшинного пространства (почек), мочевого пузыря</w:t>
      </w:r>
    </w:p>
    <w:p>
      <w:pPr>
        <w:ind w:left="504"/>
      </w:pPr>
      <w:r>
        <w:rPr>
          <w:b w:val="0"/>
          <w:i/>
        </w:rPr>
        <w:t>* Рекомендуется выполнение спиральной компьютерной томографии (СКТ) с контрастным усилением функционального состояния верхних мочевых путей, тяжести атрофических процессов в паренхиме на фоне обструкции ЛМС, а также выявления возможных внешних причин ГН (аберрантных или сегментарных сосудов, ретрокавального расположения мочеточника).</w:t>
        <w:br/>
        <w:br/>
        <w:t>*Комментарии:* МСКТ предоставляет информацию о функции пораженной почки и анатомии ВМП и окружающих тканей. Предпринимаются попытки использовать компьютерную томографию для оценки функции почек по толщине паренхиматозной ткани. В дооперационной диагностике стеноза (обструкции) ЛМС МСКТ имеет 98 % чувствительность и 100 %, специфичность . В дооперационной диагностике уровазального (вазоуретерального) конфликта МСКТ имеет 91% чувствительность и 100% специфичность. В настоящее время МСКТ является ведущим рентгенологическим методом диагностики ГН.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* Рекомендуется выполнение ультразвукового исследования почек (УЗИ) всем пациентам для подтверждения и определения степени гидронефроза, оценки состояния паренхимы пораженной и контралатеральной почки.</w:t>
        <w:br/>
        <w:br/>
        <w:t>*Комментарии:* УЗИ занимает первое место применяемых для выявления стеноза ЛМС, ГН. Однако, данная методика не дает информацию о накопительно-выделительной функции почек. Поскольку расширение ЧЛС не всегда является результатом стеноза ЛМС, ультразвуковое исследование может оказаться ложноположительным. УЗИ может быть рекомендовано как метод динамического наблюдения за пациентами, перенесшими реконструктивно-пластические или эндоскопические операции путем измерения переднезаднего диаметра (ПЗД) лоханки до и после хирургического пособия.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Дополнительным методом исследования, необходимым для постановки диагноза,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антеградная пиелоуретерография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ультразвуковая допплерография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нефросцинтиграфия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нефросцинтиграфия</w:t>
      </w:r>
    </w:p>
    <w:p>
      <w:pPr>
        <w:ind w:left="504"/>
      </w:pPr>
      <w:r>
        <w:rPr>
          <w:b w:val="0"/>
          <w:i/>
        </w:rPr>
        <w:t>* Рекомендуется выполнение нефросцинтиграфии пациентам для определения нарушения функции поражённой почки; характера выведения радиофармпрепарата из ВМП; состояния контралатеральной почки.</w:t>
        <w:br/>
        <w:br/>
        <w:t>*Комментарии:* данная методика позволяет получить информацию о состоянии накопительно-выделительной функции паренхимы почек и ВМП на до- и послеоперационном этапе.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Пиелоэктазия слева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Гидронефроз слева со стриктурой мочеточника, не классифицированный в других рубриках (3А стадия)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Болезнь Ормонда. Облитеранция лоханочно-мочеточникового сегмента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Парапельвикальные кисты левой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Гидронефроз слева со стриктурой мочеточника, не классифицированный в других рубриках (3А стадия)</w:t>
      </w:r>
    </w:p>
    <w:p>
      <w:pPr>
        <w:ind w:left="504"/>
      </w:pPr>
      <w:r>
        <w:rPr>
          <w:b w:val="0"/>
          <w:i/>
        </w:rPr>
        <w:t>Для оценки выраженности гидронефротической трансформации (ГНТ) в России наиболее распространена классификация, предложенная академиком Н.А. Лопаткиным (1969), согласно которой выделяют три стадии гидронефроза, но при этом третью –подразделяют на две подстадии 3А и 3Б:</w:t>
        <w:br/>
        <w:br/>
        <w:t>1-я стадия – начальный гидронефроз, характеризующийся пиелоэктазией без развития значимого гидрокаликоза и нарушения функции почки;</w:t>
        <w:br/>
        <w:br/>
        <w:t>2-я стадия – ранний гидронефроз, при котором расширение ЧЛС сопровождается ухудшением функции почки;</w:t>
        <w:br/>
        <w:br/>
        <w:t>3-я (А и Б) стадия – терминальный гидронефроз, характеризующийся значительным расширением чашечно-лоханочной системы и существенным снижение почечной функции. 3А стадия гидронефроза потенциально обратима, при 3Б стадии гидронефроза почечная паренхима атрофируется; изменения необратимы.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показано(а)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эндоскопическая баллонная дилатация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динамическое наблюдение за пациентом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лапароскопическая пиелопластика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нефрэктомия слева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лапароскопическая пиелопластика слева</w:t>
      </w:r>
    </w:p>
    <w:p>
      <w:pPr>
        <w:ind w:left="504"/>
      </w:pPr>
      <w:r>
        <w:rPr>
          <w:b w:val="0"/>
          <w:i/>
        </w:rPr>
        <w:t>* Рекомендуется выполнение лапароскопических и ретроперитонеоскопических операций у пациентов со стенозом ЛМС и ГН.</w:t>
        <w:br/>
        <w:br/>
        <w:t>*Комментарии:* в настоящее время золотым стандартом лечения гидронефроза считается лапароскопическая пиелопластика. Основными преимуществами методики считают не значимую кровопотерю, низкую послеоперационную морбидность, хороший косметический эффект и сопоставимые результаты с открытыми пиелопластиками. Данный хирургический доступ показал свою эффективность как у детей &lt;1 года, так и у пожилых пациентов (&gt;70 лет). В крупных исследованиях эффективность методики составляет от 85 до 100% . Операция может быть осуществлена трансперитонеально или экстраперитонеально. В проведенных исследованиях, сравнивающих данные доступы, различий в послеоперационных функциональных результатах не выявлено, однако, для выполнения пиелопластики ретроперитонеоскопическим доступом требуется больше временных затрат.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Показанием к органосохраняющему оперативному пособию по восстановлению лоханочно-мочеточникового сегмента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сохранная функция левой почки при нефросцинтиграфии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достаточная толщина почечной паренхимы при УЗИ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низкий уровень креатинина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размеры лоханки в диапазоне 20-30 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сохранная функция левой почки при нефросцинтиграфии</w:t>
      </w:r>
    </w:p>
    <w:p>
      <w:pPr>
        <w:ind w:left="504"/>
      </w:pPr>
      <w:r>
        <w:rPr>
          <w:b w:val="0"/>
          <w:i/>
        </w:rPr>
        <w:t>* Органосохраняющая операция выполняется при сохранной функции пораженной почки (стадии до 3Б)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Альтернативным методом хирургического лечения гидронефроза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открытая пиелопластика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установка мочеточникового катетера-стента на 1 месяц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установка нефростомического дренажа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перкутанная уретеропиелотомия слева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открытая пиелопластика слева</w:t>
      </w:r>
    </w:p>
    <w:p>
      <w:pPr>
        <w:ind w:left="504"/>
      </w:pPr>
      <w:r>
        <w:rPr>
          <w:b w:val="0"/>
          <w:i/>
        </w:rPr>
        <w:t>* Рекомендуется выполнение открытых пластических операций у пациентов со стенозом ЛМС и ГН.</w:t>
        <w:br/>
        <w:br/>
        <w:t>*Комментарии:* золотым стандартом лечения стеноза ЛМС, ГН долгие годы считалась открытая пиелопластика, осуществляемая через передний экстраперитонеальный или люмботомический доступ. Эффективность открытых пластических операций составляет от 95-100%.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Оптимальный срок удаления мочеточникового катетера-стента в послеоперационном периоде – через _____ после оперативного вмешательства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4-6 недель</w:t>
      </w:r>
    </w:p>
    <w:p>
      <w:pPr>
        <w:ind w:left="504"/>
      </w:pPr>
      <w:r>
        <w:rPr>
          <w:b w:val="0"/>
          <w:i/>
        </w:rPr>
        <w:t>* Рекомендуется удаление внутреннего стента спустя 4–6 недель после эндоскопической, открытой или лапароскопической операции.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оправданным методом инструментального исследования, необходимым для контроля в послеоперационном периоде,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почек и мочевых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ретроградная уретеропиелография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ультразвуковое исследование почек</w:t>
      </w:r>
    </w:p>
    <w:p>
      <w:pPr>
        <w:ind w:left="504"/>
      </w:pPr>
      <w:r>
        <w:rPr>
          <w:b w:val="0"/>
          <w:i/>
        </w:rPr>
        <w:t>* Рекомендуется выполнить УЗИ 1 раз в 6 мес., а контроль функции почек (радиоизотопное исследование) — 1 раз спустя 1 год после оперативного лечения.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Дифференциальная диагностика первичного гидронефроза проводится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опухолью мочеточника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пузырно-мочеточниковый рефлюксом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нефроптозом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опухолью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нефроптозом</w:t>
      </w:r>
    </w:p>
    <w:p>
      <w:pPr>
        <w:ind w:left="504"/>
      </w:pPr>
      <w:r>
        <w:rPr>
          <w:b w:val="0"/>
          <w:i/>
        </w:rPr>
        <w:t>*Комментарии:* при наличии боли дифференциальную диагностику проводят с нефроптозом. В отличие от гидронефроза при нефроптозе боль возникает при движении и физическом напряжении и быстро стихает в покое. Сравнение экскреторных урограмм в положении лёжа и стоя позволяет диагностировать нефроптоз. Стриктура ЛМС и нефроптоз могут сочетаться.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Рекомендуется выполнение чрескожной пункционной нефростомии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сочетании с конкрементом верхней группы чашечек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терминальных стадиях гидронефроза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сочетании с аденомой простаты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пузырно-мочеточниковом рефлюксе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терминальных стадиях гидронефроза</w:t>
      </w:r>
    </w:p>
    <w:p>
      <w:pPr>
        <w:ind w:left="504"/>
      </w:pPr>
      <w:r>
        <w:rPr>
          <w:b w:val="0"/>
          <w:i/>
        </w:rPr>
        <w:t>* Рекомендуется выполнение чрескожной пункционной нефростомии (ЧПНС) у пациентов со стенозом ЛМС, ГН в предоперационном периоде в терминальных стадиях гидронефроза при необходимости решения вопроса о выборе между нефрэктомией и органосохраняющей операцией.</w:t>
        <w:br/>
        <w:br/>
        <w:t>*Комментарии:*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почки. Через 1-2 недели после дренирования исследуется очистительная и концентрационная функция пораженной почки (если был установлен нефростомический дренаж) и выполняется динамическая нефросцинтиграфия.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Оценка восстановления функции почки после установки нефростомического дренажа проводится через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1-2 недели</w:t>
      </w:r>
    </w:p>
    <w:p>
      <w:pPr>
        <w:ind w:left="504"/>
      </w:pPr>
      <w:r>
        <w:rPr>
          <w:b w:val="0"/>
          <w:i/>
        </w:rPr>
        <w:t>*Комментарии:*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почки. Через 1-2 недели после дренирования исследуется очистительная и концентрационная функция пораженной почки (если был установлен нефростомический дренаж) и выполняется динамическая нефросцинтиграфия.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11_23/" TargetMode="External"/><Relationship Id="rId22" Type="http://schemas.openxmlformats.org/officeDocument/2006/relationships/hyperlink" Target="https://library.mededtech.ru/rest/documents/KP11_23/#paragraph_6nqbgf" TargetMode="External"/><Relationship Id="rId23" Type="http://schemas.openxmlformats.org/officeDocument/2006/relationships/hyperlink" Target="https://library.mededtech.ru/rest/documents/KP11_23/#list_item_ad5o0e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11_23/#list_item_elmo4e" TargetMode="External"/><Relationship Id="rId26" Type="http://schemas.openxmlformats.org/officeDocument/2006/relationships/hyperlink" Target="https://library.mededtech.ru/rest/documents/KP11_23/#list_item_nem301" TargetMode="External"/><Relationship Id="rId27" Type="http://schemas.openxmlformats.org/officeDocument/2006/relationships/hyperlink" Target="https://library.mededtech.ru/rest/documents/KP11_23/#paragraph_b73edm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11_23/#paragraph_7k0etd" TargetMode="External"/><Relationship Id="rId30" Type="http://schemas.openxmlformats.org/officeDocument/2006/relationships/hyperlink" Target="https://library.mededtech.ru/rest/documents/KP11_23/#list_item_o6r1oi" TargetMode="External"/><Relationship Id="rId31" Type="http://schemas.openxmlformats.org/officeDocument/2006/relationships/hyperlink" Target="https://library.mededtech.ru/rest/documents/KP11_23/#list_item_v2l23m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KP11_23/#list_item_f08gug" TargetMode="External"/><Relationship Id="rId34" Type="http://schemas.openxmlformats.org/officeDocument/2006/relationships/hyperlink" Target="https://library.mededtech.ru/rest/documents/KP11_23/#paragraph_e8vku7" TargetMode="External"/><Relationship Id="rId35" Type="http://schemas.openxmlformats.org/officeDocument/2006/relationships/hyperlink" Target="https://library.mededtech.ru/rest/documents/KP11_23/#list_item_1c1ql0" TargetMode="External"/><Relationship Id="rId36" Type="http://schemas.openxmlformats.org/officeDocument/2006/relationships/hyperlink" Target="https://library.mededtech.ru/rest/documents/KP17_23/" TargetMode="External"/><Relationship Id="rId37" Type="http://schemas.openxmlformats.org/officeDocument/2006/relationships/hyperlink" Target="https://library.mededtech.ru/rest/documents/KP17_23/#list_item_von104" TargetMode="External"/><Relationship Id="rId38" Type="http://schemas.openxmlformats.org/officeDocument/2006/relationships/hyperlink" Target="https://library.mededtech.ru/rest/documents/KP17_23/#list_item_4lclmu" TargetMode="External"/><Relationship Id="rId39" Type="http://schemas.openxmlformats.org/officeDocument/2006/relationships/hyperlink" Target="https://library.mededtech.ru/rest/documents/KP17_23/#list_item_9dceo6" TargetMode="External"/><Relationship Id="rId40" Type="http://schemas.openxmlformats.org/officeDocument/2006/relationships/hyperlink" Target="https://library.mededtech.ru/rest/documents/KP17_23/#list_item_8mju1g" TargetMode="External"/><Relationship Id="rId41" Type="http://schemas.openxmlformats.org/officeDocument/2006/relationships/hyperlink" Target="https://library.mededtech.ru/rest/documents/KP17_23/#list_item_j4tn2a" TargetMode="External"/><Relationship Id="rId42" Type="http://schemas.openxmlformats.org/officeDocument/2006/relationships/hyperlink" Target="https://library.mededtech.ru/rest/documents/KP17_23/#paragraph_5to7p6" TargetMode="External"/><Relationship Id="rId43" Type="http://schemas.openxmlformats.org/officeDocument/2006/relationships/hyperlink" Target="https://library.mededtech.ru/rest/documents/KP17_23/#paragraph_blutoo" TargetMode="External"/><Relationship Id="rId44" Type="http://schemas.openxmlformats.org/officeDocument/2006/relationships/hyperlink" Target="https://library.mededtech.ru/rest/documents/KP17_23/#paragraph_952jg3" TargetMode="External"/><Relationship Id="rId45" Type="http://schemas.openxmlformats.org/officeDocument/2006/relationships/hyperlink" Target="https://library.mededtech.ru/rest/documents/KP17_23/#list_item_ip325p" TargetMode="External"/><Relationship Id="rId46" Type="http://schemas.openxmlformats.org/officeDocument/2006/relationships/hyperlink" Target="https://library.mededtech.ru/rest/documents/KP17_23/#paragraph_uvaf5f" TargetMode="External"/><Relationship Id="rId47" Type="http://schemas.openxmlformats.org/officeDocument/2006/relationships/hyperlink" Target="https://library.mededtech.ru/rest/documents/KP17_23/#paragraph_i39g46" TargetMode="External"/><Relationship Id="rId48" Type="http://schemas.openxmlformats.org/officeDocument/2006/relationships/hyperlink" Target="https://library.mededtech.ru/rest/documents/KP17_23/#list_item_4vvhi4" TargetMode="External"/><Relationship Id="rId49" Type="http://schemas.openxmlformats.org/officeDocument/2006/relationships/hyperlink" Target="https://library.mededtech.ru/rest/documents/KP17_23/#paragraph_o5h72g" TargetMode="External"/><Relationship Id="rId50" Type="http://schemas.openxmlformats.org/officeDocument/2006/relationships/hyperlink" Target="https://library.mededtech.ru/rest/documents/KP17_23/#list_item_3snanh" TargetMode="External"/><Relationship Id="rId51" Type="http://schemas.openxmlformats.org/officeDocument/2006/relationships/hyperlink" Target="https://library.mededtech.ru/rest/documents/KP17_23/#paragraph_1vqu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